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000" w:firstRow="0" w:lastRow="0" w:firstColumn="0" w:lastColumn="0" w:noHBand="0" w:noVBand="0"/>
      </w:tblPr>
      <w:tblGrid>
        <w:gridCol w:w="3828"/>
        <w:gridCol w:w="5811"/>
      </w:tblGrid>
      <w:tr w:rsidR="007C150E" w:rsidRPr="007065A8" w:rsidTr="007C150E">
        <w:tc>
          <w:tcPr>
            <w:tcW w:w="3828" w:type="dxa"/>
          </w:tcPr>
          <w:p w:rsidR="007C150E" w:rsidRPr="00AA50C1" w:rsidRDefault="007C150E" w:rsidP="007C150E">
            <w:pPr>
              <w:spacing w:line="360" w:lineRule="atLeast"/>
              <w:jc w:val="center"/>
              <w:rPr>
                <w:sz w:val="26"/>
                <w:szCs w:val="26"/>
              </w:rPr>
            </w:pPr>
            <w:r w:rsidRPr="00AA50C1">
              <w:rPr>
                <w:sz w:val="26"/>
                <w:szCs w:val="26"/>
              </w:rPr>
              <w:t>CÔNG AN TỈNH HÀ NAM</w:t>
            </w:r>
          </w:p>
          <w:p w:rsidR="007C150E" w:rsidRPr="00AA50C1" w:rsidRDefault="007C150E" w:rsidP="007C150E">
            <w:pPr>
              <w:tabs>
                <w:tab w:val="left" w:pos="975"/>
              </w:tabs>
              <w:spacing w:line="360" w:lineRule="atLeast"/>
              <w:jc w:val="center"/>
              <w:rPr>
                <w:b/>
                <w:sz w:val="26"/>
                <w:szCs w:val="26"/>
              </w:rPr>
            </w:pPr>
            <w:r w:rsidRPr="00AA50C1">
              <w:rPr>
                <w:noProof/>
                <w:sz w:val="26"/>
                <w:szCs w:val="26"/>
              </w:rPr>
              <mc:AlternateContent>
                <mc:Choice Requires="wps">
                  <w:drawing>
                    <wp:anchor distT="0" distB="0" distL="114300" distR="114300" simplePos="0" relativeHeight="251661312" behindDoc="0" locked="0" layoutInCell="1" allowOverlap="1" wp14:anchorId="2FF9E41F" wp14:editId="20B13CD9">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AA50C1">
              <w:rPr>
                <w:b/>
                <w:noProof/>
                <w:sz w:val="26"/>
                <w:szCs w:val="26"/>
              </w:rPr>
              <mc:AlternateContent>
                <mc:Choice Requires="wps">
                  <w:drawing>
                    <wp:anchor distT="0" distB="0" distL="114300" distR="114300" simplePos="0" relativeHeight="251660288" behindDoc="0" locked="0" layoutInCell="1" allowOverlap="1" wp14:anchorId="4A782487" wp14:editId="7E1E24C2">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AA50C1">
              <w:rPr>
                <w:b/>
                <w:sz w:val="26"/>
                <w:szCs w:val="26"/>
              </w:rPr>
              <w:t>CÔNG AN HUYỆN BÌNH LỤC</w:t>
            </w:r>
          </w:p>
          <w:p w:rsidR="007C150E" w:rsidRPr="004B72EE" w:rsidRDefault="007C150E" w:rsidP="007C150E">
            <w:pPr>
              <w:ind w:right="-351"/>
              <w:jc w:val="center"/>
              <w:rPr>
                <w:sz w:val="24"/>
                <w:szCs w:val="24"/>
              </w:rPr>
            </w:pPr>
          </w:p>
          <w:p w:rsidR="007C150E" w:rsidRPr="007065A8" w:rsidRDefault="007C150E" w:rsidP="007C150E">
            <w:pPr>
              <w:ind w:right="-351"/>
              <w:jc w:val="center"/>
              <w:rPr>
                <w:b/>
                <w:bCs/>
              </w:rPr>
            </w:pPr>
            <w:r>
              <w:t>Số:      /BC</w:t>
            </w:r>
          </w:p>
        </w:tc>
        <w:tc>
          <w:tcPr>
            <w:tcW w:w="5811" w:type="dxa"/>
          </w:tcPr>
          <w:p w:rsidR="007C150E" w:rsidRPr="007065A8" w:rsidRDefault="007C150E" w:rsidP="007C150E">
            <w:pPr>
              <w:ind w:right="64"/>
              <w:jc w:val="center"/>
              <w:rPr>
                <w:b/>
                <w:bCs/>
                <w:sz w:val="26"/>
                <w:szCs w:val="26"/>
              </w:rPr>
            </w:pPr>
            <w:r w:rsidRPr="007065A8">
              <w:rPr>
                <w:b/>
                <w:bCs/>
                <w:sz w:val="26"/>
                <w:szCs w:val="26"/>
              </w:rPr>
              <w:t xml:space="preserve">CỘNG HOÀ XÃ HỘI CHỦ NGHĨA VIỆT </w:t>
            </w:r>
            <w:smartTag w:uri="urn:schemas-microsoft-com:office:smarttags" w:element="place">
              <w:smartTag w:uri="urn:schemas-microsoft-com:office:smarttags" w:element="country-region">
                <w:r w:rsidRPr="007065A8">
                  <w:rPr>
                    <w:b/>
                    <w:bCs/>
                    <w:sz w:val="26"/>
                    <w:szCs w:val="26"/>
                  </w:rPr>
                  <w:t>NAM</w:t>
                </w:r>
              </w:smartTag>
            </w:smartTag>
          </w:p>
          <w:p w:rsidR="007C150E" w:rsidRPr="004B72EE" w:rsidRDefault="007C150E" w:rsidP="004B72EE">
            <w:pPr>
              <w:ind w:left="-108" w:right="64"/>
              <w:jc w:val="center"/>
              <w:rPr>
                <w:b/>
                <w:sz w:val="26"/>
              </w:rPr>
            </w:pPr>
            <w:r w:rsidRPr="007065A8">
              <w:rPr>
                <w:b/>
              </w:rPr>
              <w:t>Độc lập - Tự do - Hạnh phúc</w:t>
            </w:r>
          </w:p>
          <w:p w:rsidR="007C150E" w:rsidRPr="004B72EE" w:rsidRDefault="004B72EE" w:rsidP="007C150E">
            <w:pPr>
              <w:ind w:left="280" w:firstLine="420"/>
              <w:jc w:val="center"/>
              <w:rPr>
                <w:i/>
                <w:sz w:val="32"/>
                <w:szCs w:val="32"/>
              </w:rPr>
            </w:pPr>
            <w:r w:rsidRPr="004B72EE">
              <w:rPr>
                <w:noProof/>
                <w:sz w:val="32"/>
                <w:szCs w:val="32"/>
              </w:rPr>
              <mc:AlternateContent>
                <mc:Choice Requires="wps">
                  <w:drawing>
                    <wp:anchor distT="0" distB="0" distL="114300" distR="114300" simplePos="0" relativeHeight="251659264" behindDoc="0" locked="0" layoutInCell="1" allowOverlap="1" wp14:anchorId="671827A4" wp14:editId="24B5B0D9">
                      <wp:simplePos x="0" y="0"/>
                      <wp:positionH relativeFrom="column">
                        <wp:posOffset>603885</wp:posOffset>
                      </wp:positionH>
                      <wp:positionV relativeFrom="paragraph">
                        <wp:posOffset>5080</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4pt" to="22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"/>
                  </w:pict>
                </mc:Fallback>
              </mc:AlternateContent>
            </w:r>
            <w:r w:rsidR="007C150E" w:rsidRPr="004B72EE">
              <w:rPr>
                <w:i/>
                <w:sz w:val="32"/>
                <w:szCs w:val="32"/>
              </w:rPr>
              <w:t xml:space="preserve">        </w:t>
            </w:r>
          </w:p>
          <w:p w:rsidR="007C150E" w:rsidRPr="007065A8" w:rsidRDefault="007C150E" w:rsidP="007C150E">
            <w:pPr>
              <w:ind w:left="280" w:firstLine="420"/>
              <w:jc w:val="center"/>
            </w:pPr>
            <w:r>
              <w:rPr>
                <w:i/>
              </w:rPr>
              <w:t xml:space="preserve"> </w:t>
            </w:r>
            <w:r w:rsidRPr="007065A8">
              <w:rPr>
                <w:i/>
              </w:rPr>
              <w:t xml:space="preserve">Bình lục, </w:t>
            </w:r>
            <w:r>
              <w:t xml:space="preserve">ngày    tháng    </w:t>
            </w:r>
            <w:r w:rsidRPr="007065A8">
              <w:t xml:space="preserve"> </w:t>
            </w:r>
            <w:r>
              <w:t>năm 2020</w:t>
            </w:r>
          </w:p>
        </w:tc>
      </w:tr>
    </w:tbl>
    <w:p w:rsidR="00C9742B" w:rsidRDefault="00C9742B" w:rsidP="00C9742B">
      <w:pPr>
        <w:tabs>
          <w:tab w:val="left" w:pos="1580"/>
          <w:tab w:val="center" w:pos="4320"/>
        </w:tabs>
        <w:spacing w:line="360" w:lineRule="atLeast"/>
        <w:jc w:val="center"/>
        <w:rPr>
          <w:b/>
          <w:sz w:val="32"/>
          <w:szCs w:val="32"/>
        </w:rPr>
      </w:pPr>
    </w:p>
    <w:p w:rsidR="00C9742B" w:rsidRDefault="00C9742B" w:rsidP="00C9742B">
      <w:pPr>
        <w:tabs>
          <w:tab w:val="left" w:pos="1580"/>
          <w:tab w:val="center" w:pos="4320"/>
        </w:tabs>
        <w:spacing w:line="360" w:lineRule="atLeast"/>
        <w:jc w:val="center"/>
        <w:rPr>
          <w:b/>
        </w:rPr>
      </w:pPr>
      <w:r w:rsidRPr="00CA05BC">
        <w:rPr>
          <w:b/>
        </w:rPr>
        <w:t>BÁO CÁO</w:t>
      </w:r>
    </w:p>
    <w:p w:rsidR="00C9742B" w:rsidRDefault="00C9742B" w:rsidP="00C9742B">
      <w:pPr>
        <w:tabs>
          <w:tab w:val="left" w:pos="1580"/>
          <w:tab w:val="center" w:pos="4320"/>
        </w:tabs>
        <w:spacing w:line="360" w:lineRule="atLeast"/>
        <w:jc w:val="center"/>
        <w:rPr>
          <w:b/>
        </w:rPr>
      </w:pPr>
      <w:r>
        <w:rPr>
          <w:b/>
        </w:rPr>
        <w:t xml:space="preserve">Tổng kết 05 năm thực hiện Kế hoạch phối hợp giữa </w:t>
      </w:r>
    </w:p>
    <w:p w:rsidR="00C9742B" w:rsidRDefault="00C9742B" w:rsidP="00702675">
      <w:pPr>
        <w:tabs>
          <w:tab w:val="left" w:pos="1580"/>
          <w:tab w:val="center" w:pos="4320"/>
        </w:tabs>
        <w:spacing w:line="360" w:lineRule="atLeast"/>
        <w:jc w:val="center"/>
        <w:rPr>
          <w:b/>
        </w:rPr>
      </w:pPr>
      <w:r>
        <w:rPr>
          <w:b/>
        </w:rPr>
        <w:t xml:space="preserve">BCA &amp; TW Đoàn TNCS Hồ Chí Minh </w:t>
      </w:r>
    </w:p>
    <w:p w:rsidR="004B72EE" w:rsidRDefault="004B72EE" w:rsidP="00C9742B">
      <w:pPr>
        <w:spacing w:line="360" w:lineRule="atLeast"/>
        <w:jc w:val="both"/>
        <w:rPr>
          <w:b/>
        </w:rPr>
      </w:pPr>
    </w:p>
    <w:p w:rsidR="00C9742B" w:rsidRPr="004B72EE" w:rsidRDefault="00C9742B" w:rsidP="004B72EE">
      <w:pPr>
        <w:spacing w:line="312" w:lineRule="auto"/>
        <w:ind w:firstLine="567"/>
        <w:jc w:val="both"/>
      </w:pPr>
      <w:r w:rsidRPr="004B72EE">
        <w:t xml:space="preserve">Thực hiện công văn số 1572/CAT-PV01 ngày 12 tháng 6 năm 2020 của Công an tỉnh Hà Nam về việc tổng kết 05 năm thực hiện Kế hoạch phối hợp giữa BCA &amp; TW Đoàn TNCS Hồ Chí Minh. Công </w:t>
      </w:r>
      <w:proofErr w:type="gramStart"/>
      <w:r w:rsidRPr="004B72EE">
        <w:t>an</w:t>
      </w:r>
      <w:proofErr w:type="gramEnd"/>
      <w:r w:rsidRPr="004B72EE">
        <w:t xml:space="preserve"> huyện Bình Lục xin báo cáo như sau:</w:t>
      </w:r>
    </w:p>
    <w:p w:rsidR="00C9742B" w:rsidRDefault="00C9742B" w:rsidP="004B72EE">
      <w:pPr>
        <w:pStyle w:val="ListParagraph"/>
        <w:numPr>
          <w:ilvl w:val="0"/>
          <w:numId w:val="1"/>
        </w:numPr>
        <w:tabs>
          <w:tab w:val="left" w:pos="567"/>
        </w:tabs>
        <w:spacing w:line="312" w:lineRule="auto"/>
        <w:ind w:left="851" w:hanging="284"/>
        <w:jc w:val="both"/>
        <w:rPr>
          <w:b/>
        </w:rPr>
      </w:pPr>
      <w:r w:rsidRPr="004B72EE">
        <w:rPr>
          <w:b/>
        </w:rPr>
        <w:t>Đánh giá tình hình</w:t>
      </w:r>
    </w:p>
    <w:p w:rsidR="009E03E9" w:rsidRPr="00CB7C16" w:rsidRDefault="009E03E9" w:rsidP="009E03E9">
      <w:pPr>
        <w:pStyle w:val="ListParagraph"/>
        <w:numPr>
          <w:ilvl w:val="0"/>
          <w:numId w:val="9"/>
        </w:numPr>
        <w:tabs>
          <w:tab w:val="left" w:pos="993"/>
        </w:tabs>
        <w:spacing w:line="312" w:lineRule="auto"/>
        <w:ind w:left="0" w:firstLine="567"/>
        <w:jc w:val="both"/>
        <w:rPr>
          <w:spacing w:val="-4"/>
        </w:rPr>
      </w:pPr>
      <w:r w:rsidRPr="00CB7C16">
        <w:rPr>
          <w:spacing w:val="-4"/>
        </w:rPr>
        <w:t xml:space="preserve">Đặc điểm nổi bật của thanh niên Công </w:t>
      </w:r>
      <w:proofErr w:type="gramStart"/>
      <w:r w:rsidRPr="00CB7C16">
        <w:rPr>
          <w:spacing w:val="-4"/>
        </w:rPr>
        <w:t>an</w:t>
      </w:r>
      <w:proofErr w:type="gramEnd"/>
      <w:r w:rsidRPr="00CB7C16">
        <w:rPr>
          <w:spacing w:val="-4"/>
        </w:rPr>
        <w:t xml:space="preserve"> huyện Bình Lục là lực lượng</w:t>
      </w:r>
      <w:r w:rsidRPr="00CB7C16">
        <w:rPr>
          <w:spacing w:val="-4"/>
        </w:rPr>
        <w:t xml:space="preserve"> </w:t>
      </w:r>
      <w:r w:rsidRPr="00CB7C16">
        <w:rPr>
          <w:spacing w:val="-4"/>
        </w:rPr>
        <w:t>vũ trang hoạt động và sinh hoạt tập trung dưới sự lãnh đạo trực tiếp và toàn diện</w:t>
      </w:r>
      <w:r w:rsidRPr="00CB7C16">
        <w:rPr>
          <w:spacing w:val="-4"/>
        </w:rPr>
        <w:t xml:space="preserve"> </w:t>
      </w:r>
      <w:r w:rsidRPr="00CB7C16">
        <w:rPr>
          <w:spacing w:val="-4"/>
        </w:rPr>
        <w:t>của ban công tác thanh niên Công an tỉnh, ban thường vụ huyện đoàn Bình Lục,</w:t>
      </w:r>
      <w:r w:rsidRPr="00CB7C16">
        <w:rPr>
          <w:spacing w:val="-4"/>
        </w:rPr>
        <w:t xml:space="preserve"> </w:t>
      </w:r>
      <w:r w:rsidRPr="00CB7C16">
        <w:rPr>
          <w:spacing w:val="-4"/>
        </w:rPr>
        <w:t>Đảng ủy Công an huyện. Đoàn viên thanh niên chi đoàn phần lớn có tuổi đời</w:t>
      </w:r>
      <w:r w:rsidRPr="00CB7C16">
        <w:rPr>
          <w:spacing w:val="-4"/>
        </w:rPr>
        <w:t xml:space="preserve"> </w:t>
      </w:r>
      <w:r w:rsidRPr="00CB7C16">
        <w:rPr>
          <w:spacing w:val="-4"/>
        </w:rPr>
        <w:t>trẻ, được tuyển chọn về phẩm chất và trình độ văn hóa, đa số đã qua đào tạo cơ</w:t>
      </w:r>
      <w:r w:rsidRPr="00CB7C16">
        <w:rPr>
          <w:spacing w:val="-4"/>
        </w:rPr>
        <w:t xml:space="preserve"> </w:t>
      </w:r>
      <w:r w:rsidRPr="00CB7C16">
        <w:rPr>
          <w:spacing w:val="-4"/>
        </w:rPr>
        <w:t>bản, có trình độ chính trị, nhận thức cao, vì vậy mỗi đoàn viên thanh niên luôncó tinh thần trách nhiệm ý thức tổ chức kỷ luật cao và luôn hoàn thành xuất sắc</w:t>
      </w:r>
      <w:r w:rsidRPr="00CB7C16">
        <w:rPr>
          <w:spacing w:val="-4"/>
        </w:rPr>
        <w:t xml:space="preserve"> </w:t>
      </w:r>
      <w:r w:rsidRPr="00CB7C16">
        <w:rPr>
          <w:spacing w:val="-4"/>
        </w:rPr>
        <w:t>nhiệm vụ được giao.</w:t>
      </w:r>
    </w:p>
    <w:p w:rsidR="009E03E9" w:rsidRPr="009E03E9" w:rsidRDefault="009E03E9" w:rsidP="009E03E9">
      <w:pPr>
        <w:pStyle w:val="ListParagraph"/>
        <w:spacing w:line="312" w:lineRule="auto"/>
        <w:ind w:left="0" w:firstLine="567"/>
        <w:jc w:val="both"/>
      </w:pPr>
      <w:r w:rsidRPr="009E03E9">
        <w:t>2. Chi đoàn Công an huyện Bình Lục hiện có 70 đoàn viên, trong đó có 61</w:t>
      </w:r>
      <w:r>
        <w:t xml:space="preserve"> </w:t>
      </w:r>
      <w:r w:rsidRPr="009E03E9">
        <w:t>đồng chí là Đảng viên (chiếm tỷ lệ hơn 87,14%). H</w:t>
      </w:r>
      <w:r>
        <w:t xml:space="preserve">ầu hết các đoàn viên thanh niên </w:t>
      </w:r>
      <w:r w:rsidRPr="009E03E9">
        <w:t>đều có bản lĩnh chính trị vững vàng, tuyệt đối trun</w:t>
      </w:r>
      <w:r>
        <w:t xml:space="preserve">g thành với sự nghiệp cách mạng </w:t>
      </w:r>
      <w:r w:rsidRPr="009E03E9">
        <w:t>của Đảng, có đạo đức phẩm chất tốt, có ý chí p</w:t>
      </w:r>
      <w:r>
        <w:t xml:space="preserve">hấn đấu, tư duy năng động, sáng </w:t>
      </w:r>
      <w:r w:rsidRPr="009E03E9">
        <w:t xml:space="preserve">tạo, không ngại khó khăn gian khổ, sẵn sàng nhận </w:t>
      </w:r>
      <w:r>
        <w:t xml:space="preserve">và hoàn thành tốt nhiệm vụ được </w:t>
      </w:r>
      <w:r w:rsidRPr="009E03E9">
        <w:t>giao góp phần xứng đáng vào thành tích của Công</w:t>
      </w:r>
      <w:r>
        <w:t xml:space="preserve"> an huyện trong thực hiện nhiệm </w:t>
      </w:r>
      <w:r w:rsidRPr="009E03E9">
        <w:t>vụ đảm bảo ANTT, xây dựng Đảng và xây dựng l</w:t>
      </w:r>
      <w:r>
        <w:t xml:space="preserve">ực lượng Công an nhân dân trong </w:t>
      </w:r>
      <w:r w:rsidRPr="009E03E9">
        <w:t>sạch, vững mạnh.</w:t>
      </w:r>
    </w:p>
    <w:p w:rsidR="009E03E9" w:rsidRPr="009E03E9" w:rsidRDefault="009E03E9" w:rsidP="009E03E9">
      <w:pPr>
        <w:pStyle w:val="ListParagraph"/>
        <w:spacing w:line="312" w:lineRule="auto"/>
        <w:ind w:left="0" w:firstLine="567"/>
        <w:jc w:val="both"/>
      </w:pPr>
      <w:r w:rsidRPr="009E03E9">
        <w:t>Số lượng đoàn viên thanh niên Công an huyện có trình độ đại học là 28 đồng</w:t>
      </w:r>
      <w:r>
        <w:t xml:space="preserve"> </w:t>
      </w:r>
      <w:r w:rsidRPr="009E03E9">
        <w:t>chí = 40%, trình độ trung cấp là 30 đồng chí =</w:t>
      </w:r>
      <w:r>
        <w:t xml:space="preserve"> 48</w:t>
      </w:r>
      <w:proofErr w:type="gramStart"/>
      <w:r>
        <w:t>,85</w:t>
      </w:r>
      <w:proofErr w:type="gramEnd"/>
      <w:r>
        <w:t xml:space="preserve">%, chưa qua đào tạo là 12 </w:t>
      </w:r>
      <w:r w:rsidRPr="009E03E9">
        <w:t>đồng chí = 17,14%.</w:t>
      </w:r>
    </w:p>
    <w:p w:rsidR="00C9742B" w:rsidRPr="004B72EE" w:rsidRDefault="00C9742B" w:rsidP="004B72EE">
      <w:pPr>
        <w:pStyle w:val="ListParagraph"/>
        <w:numPr>
          <w:ilvl w:val="0"/>
          <w:numId w:val="1"/>
        </w:numPr>
        <w:tabs>
          <w:tab w:val="left" w:pos="567"/>
        </w:tabs>
        <w:spacing w:line="312" w:lineRule="auto"/>
        <w:ind w:left="851" w:hanging="284"/>
        <w:jc w:val="both"/>
        <w:rPr>
          <w:b/>
        </w:rPr>
      </w:pPr>
      <w:r w:rsidRPr="004B72EE">
        <w:rPr>
          <w:b/>
        </w:rPr>
        <w:t>Kết quả công tác phối hợp</w:t>
      </w:r>
    </w:p>
    <w:p w:rsidR="00702675" w:rsidRPr="004B72EE" w:rsidRDefault="00702675" w:rsidP="004B72EE">
      <w:pPr>
        <w:pStyle w:val="ListParagraph"/>
        <w:numPr>
          <w:ilvl w:val="0"/>
          <w:numId w:val="6"/>
        </w:numPr>
        <w:tabs>
          <w:tab w:val="left" w:pos="993"/>
          <w:tab w:val="left" w:pos="4320"/>
        </w:tabs>
        <w:spacing w:line="312" w:lineRule="auto"/>
        <w:ind w:left="0" w:right="46" w:firstLine="567"/>
        <w:jc w:val="both"/>
      </w:pPr>
      <w:r w:rsidRPr="004B72EE">
        <w:t xml:space="preserve">Tham mưu cho các cấp ủy Đảng, chính quyền địa phương thực hiện chỉ thị số 21/CT-TW ngày 26/3/2008 của Bộ chính trị về “Tiếp tục tăng cường lãnh đạo, chỉ đạo công tác phòng, chống và kiểm soát ma túy trong tình hình mới”; chỉ thị số 48/CT-TW ngày 22/10/2010 của Bộ chính trị về “Tăng cường sự lãnh </w:t>
      </w:r>
      <w:r w:rsidRPr="004B72EE">
        <w:lastRenderedPageBreak/>
        <w:t>đạo của Đảng đối với công tác phòng, chống tội phạm trong tình hình mới”, chương trình mục tiêu Quốc gia phòng chống tội phạm, phòng chống ma túy và triển khai có hiệu quả các nội dung trong NQLT số 03 về “Phối hợp hành động phòng, chống ma túy trong thanh thiếu niên”. Quyết định số 392/KH-BCĐ ngày 04/5/2016 của Ban chỉ đạo NQLT số 03 tỉnh Hà Nam về việc tiếp tục thực hiện NQLT số 03; Kế hoạch số 07/KH-BCĐ ngày 17/5/2016 của BCĐ phòng chống tội phạm, tệ nạn xã hội và xây dựng phong trào toàn dân bảo vệ an ninh Tổ quốc của UBND huyện Bình Lục về công tác phòng chống ma túy.</w:t>
      </w:r>
    </w:p>
    <w:p w:rsidR="00702675" w:rsidRPr="004B72EE" w:rsidRDefault="00702675" w:rsidP="004B72EE">
      <w:pPr>
        <w:pStyle w:val="ListParagraph"/>
        <w:numPr>
          <w:ilvl w:val="0"/>
          <w:numId w:val="6"/>
        </w:numPr>
        <w:tabs>
          <w:tab w:val="left" w:pos="993"/>
          <w:tab w:val="left" w:pos="4320"/>
        </w:tabs>
        <w:spacing w:line="312" w:lineRule="auto"/>
        <w:ind w:left="0" w:right="46" w:firstLine="567"/>
        <w:jc w:val="both"/>
      </w:pPr>
      <w:r w:rsidRPr="004B72EE">
        <w:t>Phát huy hiệu quả công tác phối hợp giữa lực lượng Công an huyện Bình Lục với Đoàn thanh niên Cộng sản Hồ Chí Minh huyện Bình Lục và các tổ chức Đoàn thể các cấp có liên quan trong phòng, chống tội phạm ma túy nói chung và phòng, chống ma túy trong thanh thiếu niên nói riêng. Phát huy vai trò xung kích, trách nhiệm của các tổ chức Đoàn và lực lượng Đoàn TNCSHCM Công an huyện Bình Lục giữ vai trò nòng cốt trong tuyên truyền, vận động Đoàn viên, thanh thiếu niên phòng, chống ma túy.</w:t>
      </w:r>
    </w:p>
    <w:p w:rsidR="00702675" w:rsidRPr="004B72EE" w:rsidRDefault="00702675" w:rsidP="004B72EE">
      <w:pPr>
        <w:spacing w:line="312" w:lineRule="auto"/>
        <w:ind w:right="46" w:firstLine="567"/>
        <w:jc w:val="both"/>
      </w:pPr>
      <w:r w:rsidRPr="004B72EE">
        <w:t>Triển khai thực hiện phòng chống, ma túy trong thanh thiếu niên đến toàn bộ Đoàn viên, thanh thiếu niên trên địa bàn huyện Bình Lục qua các diễn đàn, các buổi họp sinh hoạt Đoàn ở từng Chi đoàn, các phương tiện thông tin đại chúng từ đó phát huy tích cực trong công tác phòng chống, ma túy của từng Đoàn viên thanh thiếu niên.</w:t>
      </w:r>
    </w:p>
    <w:p w:rsidR="00702675" w:rsidRPr="004B72EE" w:rsidRDefault="007C150E" w:rsidP="004B72EE">
      <w:pPr>
        <w:tabs>
          <w:tab w:val="left" w:pos="4320"/>
        </w:tabs>
        <w:spacing w:line="312" w:lineRule="auto"/>
        <w:ind w:right="46" w:firstLine="540"/>
        <w:jc w:val="both"/>
      </w:pPr>
      <w:r w:rsidRPr="004B72EE">
        <w:t xml:space="preserve">3. </w:t>
      </w:r>
      <w:r w:rsidR="00702675" w:rsidRPr="004B72EE">
        <w:t>Công tác tuyên truyền, giáo dục về tác hại của ma túy, tệ nạn ma túy và công tác phòng, chống ma túy trong thanh thiếu niên</w:t>
      </w:r>
    </w:p>
    <w:p w:rsidR="00702675" w:rsidRPr="004B72EE" w:rsidRDefault="00702675" w:rsidP="004B72EE">
      <w:pPr>
        <w:tabs>
          <w:tab w:val="left" w:pos="4320"/>
        </w:tabs>
        <w:spacing w:line="312" w:lineRule="auto"/>
        <w:ind w:right="46" w:firstLine="540"/>
        <w:jc w:val="both"/>
      </w:pPr>
      <w:r w:rsidRPr="004B72EE">
        <w:t xml:space="preserve">- Nghiên cứu hơn một trăm bài viết và nhiều bài tuyên truyền giáo dục về phòng chống ma túy với nội dung thiết thực, dễ hiểu, phong phú, đa dạng đồng thời kết hợp tuyên truyền qua các bài giảng tại các trường học trên địa bàn huyện Bình Lục và các phương tiện đại chúng đến từng Đoàn viên thanh thiếu niên về tác hại của ma túy truyền thống (Hêrôin….), ma túy tổng hợp (đá, ke, kẹo, cỏ….). </w:t>
      </w:r>
      <w:proofErr w:type="gramStart"/>
      <w:r w:rsidRPr="004B72EE">
        <w:t>Tuyên truyền nâng cao hơn nữa tới thanh thiếu niên vê tác hại của ma túy và công tác phòng, chống ma túy hướng tới một xã hội văn minh, trong sạch không có tệ nạn ma túy.</w:t>
      </w:r>
      <w:proofErr w:type="gramEnd"/>
    </w:p>
    <w:p w:rsidR="00702675" w:rsidRPr="004B72EE" w:rsidRDefault="00702675" w:rsidP="004B72EE">
      <w:pPr>
        <w:tabs>
          <w:tab w:val="left" w:pos="4320"/>
        </w:tabs>
        <w:spacing w:line="312" w:lineRule="auto"/>
        <w:ind w:right="46" w:firstLine="540"/>
        <w:jc w:val="both"/>
      </w:pPr>
      <w:r w:rsidRPr="004B72EE">
        <w:t>- Xây dựng Pano mang thông điệp phòng, chống ma túy đặt tại các đơn vị, trụ sở, trường học và từng địa phương thôn xóm, các nơi công cộng nhằm nâng cao hơn nữa sự hiểu biết về tác hại của ma túy tới con người nói chung và tới thế hệ thanh thiếu niên nói riêng.</w:t>
      </w:r>
    </w:p>
    <w:p w:rsidR="00702675" w:rsidRPr="004B72EE" w:rsidRDefault="00702675" w:rsidP="004B72EE">
      <w:pPr>
        <w:tabs>
          <w:tab w:val="left" w:pos="4320"/>
        </w:tabs>
        <w:spacing w:line="312" w:lineRule="auto"/>
        <w:ind w:right="46" w:firstLine="540"/>
        <w:jc w:val="both"/>
      </w:pPr>
      <w:r w:rsidRPr="004B72EE">
        <w:t xml:space="preserve">-Tuyên truyền, phổ biến giáo dục về pháp luật thông qua các bài viết, đài phát thanh, thiết lập các trang mạng xã hội của Đoàn thanh niên huyện như </w:t>
      </w:r>
      <w:r w:rsidRPr="004B72EE">
        <w:lastRenderedPageBreak/>
        <w:t>Facebook hay các blog riêng của Đoàn thanh niên huyện Bình Lục từ đó có thể phát động, phát huy tinh thần tố giác tội phạm ma túy trong thanh thiếu niên.</w:t>
      </w:r>
    </w:p>
    <w:p w:rsidR="00702675" w:rsidRPr="004B72EE" w:rsidRDefault="00702675" w:rsidP="004B72EE">
      <w:pPr>
        <w:spacing w:line="312" w:lineRule="auto"/>
        <w:ind w:right="46" w:firstLine="567"/>
        <w:jc w:val="both"/>
      </w:pPr>
      <w:r w:rsidRPr="004B72EE">
        <w:t>- Tổ chức các lớp tập huấn, bồi dưỡng về công tác phòng, chống ma túy và nhận biết dấu hiệu các hoạt động ma túy cho đội ngũ cán bộ Đoàn, tuyên truyền viên của Đoàn thanh niên các đơn vị, xã, thị trấn từ đó nâng cao trình độ chuyên môn trong công tác phòng, chống ma túy trong thanh thiếu niên.</w:t>
      </w:r>
    </w:p>
    <w:p w:rsidR="00702675" w:rsidRPr="004B72EE" w:rsidRDefault="00702675" w:rsidP="004B72EE">
      <w:pPr>
        <w:pStyle w:val="ListParagraph"/>
        <w:numPr>
          <w:ilvl w:val="0"/>
          <w:numId w:val="8"/>
        </w:numPr>
        <w:tabs>
          <w:tab w:val="left" w:pos="993"/>
          <w:tab w:val="left" w:pos="4320"/>
        </w:tabs>
        <w:spacing w:line="312" w:lineRule="auto"/>
        <w:ind w:left="0" w:right="46" w:firstLine="567"/>
        <w:jc w:val="both"/>
      </w:pPr>
      <w:r w:rsidRPr="004B72EE">
        <w:t>Cuộc vận động “Ba không với ma túy” trong thanh thiếu niên (không sử dụng;</w:t>
      </w:r>
      <w:r w:rsidR="007C150E" w:rsidRPr="004B72EE">
        <w:t xml:space="preserve"> không b</w:t>
      </w:r>
      <w:r w:rsidRPr="004B72EE">
        <w:t>uôn bán, tàng trữ, vận chuyển trái phép các chất ma túy; không bao che</w:t>
      </w:r>
      <w:r w:rsidR="007C150E" w:rsidRPr="004B72EE">
        <w:t xml:space="preserve"> cho tội phạm và tệ nạn ma túy)</w:t>
      </w:r>
    </w:p>
    <w:p w:rsidR="007C150E" w:rsidRPr="00CB7C16" w:rsidRDefault="00702675" w:rsidP="004B72EE">
      <w:pPr>
        <w:spacing w:line="312" w:lineRule="auto"/>
        <w:ind w:right="45" w:firstLine="567"/>
        <w:jc w:val="both"/>
        <w:rPr>
          <w:spacing w:val="-2"/>
        </w:rPr>
      </w:pPr>
      <w:r w:rsidRPr="00CB7C16">
        <w:rPr>
          <w:spacing w:val="-2"/>
        </w:rPr>
        <w:t>- Vận động Đoàn thanh niên các xã, thị trấn và các trường THPT, THCS trên địa bàn huyện Bình Lục tuyên truyền pháp luật về ma túy đến toàn bộ thanh thiếu niên trên địa bàn, đồng thời phát động phong trào ba không với ma túy đến toàn bộ người dân đặc biệt là các thanh thiếu niên trên địa bàn huyện Bình Lục.</w:t>
      </w:r>
    </w:p>
    <w:p w:rsidR="007C150E" w:rsidRPr="004B72EE" w:rsidRDefault="00702675" w:rsidP="004B72EE">
      <w:pPr>
        <w:spacing w:line="312" w:lineRule="auto"/>
        <w:ind w:right="45" w:firstLine="567"/>
        <w:jc w:val="both"/>
      </w:pPr>
      <w:r w:rsidRPr="004B72EE">
        <w:t>- Thông qua các buổi sinh hoạt Đoàn tại các Chi Đoàn tuyên truyền đến các Đoàn viên về tác hại của ma túy đến tính mạng, sức khỏe và ảnh hưởng đến gia đình, xã hội, gây mất ANTT tại địa phương.</w:t>
      </w:r>
    </w:p>
    <w:p w:rsidR="00702675" w:rsidRPr="004B72EE" w:rsidRDefault="00702675" w:rsidP="004B72EE">
      <w:pPr>
        <w:spacing w:line="312" w:lineRule="auto"/>
        <w:ind w:right="45" w:firstLine="567"/>
        <w:jc w:val="both"/>
      </w:pPr>
      <w:r w:rsidRPr="004B72EE">
        <w:t xml:space="preserve">- Trong thời gian qua trên địa bàn huyện Bình Lục có các địa bàn phức tạp về ma túy như xã Ngọc Lũ, xã Tràng An, xã Bình Nghĩa, xã An Lão.... Công </w:t>
      </w:r>
      <w:proofErr w:type="gramStart"/>
      <w:r w:rsidRPr="004B72EE">
        <w:t>an</w:t>
      </w:r>
      <w:proofErr w:type="gramEnd"/>
      <w:r w:rsidRPr="004B72EE">
        <w:t xml:space="preserve"> huyện Bình Lục đã thường xuyên phân công cán bộ theo dõi địa bàn, tăng cường giáo dục đến thanh thiếu niên trên địa bàn đảm bảo tốt tình hình ANTT tại địa phương.</w:t>
      </w:r>
    </w:p>
    <w:p w:rsidR="00702675" w:rsidRPr="004B72EE" w:rsidRDefault="00702675" w:rsidP="004B72EE">
      <w:pPr>
        <w:pStyle w:val="ListParagraph"/>
        <w:numPr>
          <w:ilvl w:val="0"/>
          <w:numId w:val="8"/>
        </w:numPr>
        <w:tabs>
          <w:tab w:val="left" w:pos="993"/>
          <w:tab w:val="left" w:pos="4320"/>
        </w:tabs>
        <w:spacing w:line="312" w:lineRule="auto"/>
        <w:ind w:left="0" w:right="46" w:firstLine="567"/>
        <w:jc w:val="both"/>
      </w:pPr>
      <w:r w:rsidRPr="004B72EE">
        <w:t xml:space="preserve"> Đẩy mạnh công tác phối hợp cảm hóa, giúp đỡ, giáo dục thanh thiếu niên </w:t>
      </w:r>
      <w:proofErr w:type="gramStart"/>
      <w:r w:rsidRPr="004B72EE">
        <w:t>cai</w:t>
      </w:r>
      <w:proofErr w:type="gramEnd"/>
      <w:r w:rsidRPr="004B72EE">
        <w:t xml:space="preserve"> nghiện ma túy và sau cai nghiện ma túy tái hòa nhập cộng đồng.</w:t>
      </w:r>
    </w:p>
    <w:p w:rsidR="004B72EE" w:rsidRPr="004B72EE" w:rsidRDefault="007C150E" w:rsidP="004B72EE">
      <w:pPr>
        <w:tabs>
          <w:tab w:val="left" w:pos="567"/>
        </w:tabs>
        <w:spacing w:line="312" w:lineRule="auto"/>
        <w:ind w:right="46"/>
        <w:jc w:val="both"/>
      </w:pPr>
      <w:r w:rsidRPr="004B72EE">
        <w:tab/>
      </w:r>
      <w:r w:rsidR="00702675" w:rsidRPr="004B72EE">
        <w:t>- Công an huyện Bình Lục tăng cường công tác điều tra cơ bản, xây dựng hệ thống dữ liệu các đối tượng thanh thiếu niên nghiện ma túy và các đối tượng thanh thiếu niên đã cai nghiện ma tuý, thường xuyên bổ sung, cập nhật các thông tin tài liệu làm cơ sở cho việc phối hợp giúp đỡ thanh thiếu niên nghiện ma túy từ bỏ ma túy và các thanh thiếu niên sau cai nghiện ma túy tái hòa nhập cộng đồng. Từ năm 2010 đến nay qua công tác rà soát, thống kê theo từng năm đã lên danh sách và nhập hồ sơ đến hiện tại có 37 đối tượng thanh thiếu niên nghiện ma túy chiếm tỷ lệ 35% số đối tượng nghiện ma túy trên địa bàn huyện Bình Lục có hồ sơ quản lý.</w:t>
      </w:r>
    </w:p>
    <w:p w:rsidR="00702675" w:rsidRPr="00CB7C16" w:rsidRDefault="004B72EE" w:rsidP="004B72EE">
      <w:pPr>
        <w:tabs>
          <w:tab w:val="left" w:pos="567"/>
        </w:tabs>
        <w:spacing w:line="312" w:lineRule="auto"/>
        <w:ind w:right="46"/>
        <w:jc w:val="both"/>
        <w:rPr>
          <w:spacing w:val="-4"/>
        </w:rPr>
      </w:pPr>
      <w:r w:rsidRPr="004B72EE">
        <w:tab/>
      </w:r>
      <w:r w:rsidR="00702675" w:rsidRPr="00CB7C16">
        <w:rPr>
          <w:spacing w:val="-4"/>
        </w:rPr>
        <w:t xml:space="preserve">- Phối hợp với chính quyền địa phương vận động cảm hóa, giáo dục tại xã, thị trấn toàn bộ số đối tượng thanh thiếu niên nghiện ma túy hướng tới từ bỏ ma túy hòa nhập với cộng đồng. </w:t>
      </w:r>
      <w:proofErr w:type="gramStart"/>
      <w:r w:rsidR="00702675" w:rsidRPr="00CB7C16">
        <w:rPr>
          <w:spacing w:val="-4"/>
        </w:rPr>
        <w:t xml:space="preserve">Tuyên truyền vận động không miệt thị đối với số thanh </w:t>
      </w:r>
      <w:r w:rsidR="00702675" w:rsidRPr="00CB7C16">
        <w:rPr>
          <w:spacing w:val="-4"/>
        </w:rPr>
        <w:lastRenderedPageBreak/>
        <w:t>thiếu niên mắc nghiện ma túy, tạo điều kiện để số thanh thiếu niên tái hòa nhập cộng đồng.</w:t>
      </w:r>
      <w:proofErr w:type="gramEnd"/>
    </w:p>
    <w:p w:rsidR="00C9742B" w:rsidRPr="004B72EE" w:rsidRDefault="00C9742B" w:rsidP="004B72EE">
      <w:pPr>
        <w:pStyle w:val="ListParagraph"/>
        <w:numPr>
          <w:ilvl w:val="0"/>
          <w:numId w:val="1"/>
        </w:numPr>
        <w:tabs>
          <w:tab w:val="left" w:pos="567"/>
        </w:tabs>
        <w:spacing w:line="312" w:lineRule="auto"/>
        <w:ind w:left="851" w:hanging="284"/>
        <w:jc w:val="both"/>
        <w:rPr>
          <w:b/>
        </w:rPr>
      </w:pPr>
      <w:r w:rsidRPr="004B72EE">
        <w:rPr>
          <w:b/>
        </w:rPr>
        <w:t>Nhận xét, đánh giá</w:t>
      </w:r>
    </w:p>
    <w:p w:rsidR="00702675" w:rsidRPr="004B72EE" w:rsidRDefault="00702675" w:rsidP="004B72EE">
      <w:pPr>
        <w:spacing w:line="312" w:lineRule="auto"/>
        <w:ind w:right="46" w:firstLine="567"/>
        <w:jc w:val="both"/>
      </w:pPr>
      <w:r w:rsidRPr="004B72EE">
        <w:t>Bên cạnh những kết quả đạt được trong thời gian qua, công tác “Phối hợp hành động phòng, chống ma túy trong thanh thiếu niên” vẫn còn hạn chế như:</w:t>
      </w:r>
    </w:p>
    <w:p w:rsidR="004B72EE" w:rsidRPr="004B72EE" w:rsidRDefault="00702675" w:rsidP="004B72EE">
      <w:pPr>
        <w:spacing w:line="312" w:lineRule="auto"/>
        <w:ind w:right="46" w:firstLine="567"/>
        <w:jc w:val="both"/>
      </w:pPr>
      <w:r w:rsidRPr="004B72EE">
        <w:t xml:space="preserve">- Một số đơn vị trong công tác phối hợp giữa Đoàn thanh niên và Công </w:t>
      </w:r>
      <w:proofErr w:type="gramStart"/>
      <w:r w:rsidRPr="004B72EE">
        <w:t>an</w:t>
      </w:r>
      <w:proofErr w:type="gramEnd"/>
      <w:r w:rsidRPr="004B72EE">
        <w:t xml:space="preserve"> địa phương còn nhiều hạn chế dẫn đến hiệu quả chưa cao.</w:t>
      </w:r>
    </w:p>
    <w:p w:rsidR="00702675" w:rsidRPr="004B72EE" w:rsidRDefault="00702675" w:rsidP="004B72EE">
      <w:pPr>
        <w:spacing w:line="312" w:lineRule="auto"/>
        <w:ind w:right="46" w:firstLine="567"/>
        <w:jc w:val="both"/>
      </w:pPr>
      <w:r w:rsidRPr="004B72EE">
        <w:t>- Công tác tuyên truyền chưa được thường xuyên, liên tục, chưa được sâu rộng hiệu quả còn thấp, các bài viết tuyên truyền còn lan man không đi vào trọng tâm và không gây được sự chú ý đến cộng đồng dẫn đến các đối tượng thanh thiếu niên chưa hiểu biết hết về tác hại của ma túy và còn nhiều thanh thiếu niên vi phạm pháp luật về ma túy trong thời gian qua.</w:t>
      </w:r>
    </w:p>
    <w:p w:rsidR="00C9742B" w:rsidRPr="004B72EE" w:rsidRDefault="00C9742B" w:rsidP="004B72EE">
      <w:pPr>
        <w:pStyle w:val="ListParagraph"/>
        <w:numPr>
          <w:ilvl w:val="0"/>
          <w:numId w:val="1"/>
        </w:numPr>
        <w:tabs>
          <w:tab w:val="left" w:pos="567"/>
        </w:tabs>
        <w:spacing w:line="312" w:lineRule="auto"/>
        <w:ind w:left="851" w:hanging="284"/>
        <w:jc w:val="both"/>
        <w:rPr>
          <w:b/>
        </w:rPr>
      </w:pPr>
      <w:r w:rsidRPr="004B72EE">
        <w:rPr>
          <w:b/>
        </w:rPr>
        <w:t>Phương hướng nhiệm vụ thời gian tới</w:t>
      </w:r>
    </w:p>
    <w:p w:rsidR="004B72EE" w:rsidRPr="004B72EE" w:rsidRDefault="00702675" w:rsidP="004B72EE">
      <w:pPr>
        <w:spacing w:line="312" w:lineRule="auto"/>
        <w:ind w:right="46" w:firstLine="567"/>
        <w:jc w:val="both"/>
      </w:pPr>
      <w:r w:rsidRPr="004B72EE">
        <w:t xml:space="preserve">- Tiếp tục thực hiện các chỉ thị của Bộ chính trị về công tác phòng, chống và kiểm soát ma túy trong tình hình mới. </w:t>
      </w:r>
      <w:proofErr w:type="gramStart"/>
      <w:r w:rsidRPr="004B72EE">
        <w:t>Thực hiện tốt chương trình mục tiêu Quốc gia phòng, chống tội phạm ma túy và triển khai thực hiện có hiệu quả các nội dung trong NQLT số 03 về “Phối hợp hành động phòng, chống ma túy trong thanh thiếu niên”.</w:t>
      </w:r>
      <w:proofErr w:type="gramEnd"/>
    </w:p>
    <w:p w:rsidR="004B72EE" w:rsidRPr="004B72EE" w:rsidRDefault="00702675" w:rsidP="004B72EE">
      <w:pPr>
        <w:spacing w:line="312" w:lineRule="auto"/>
        <w:ind w:right="46" w:firstLine="567"/>
        <w:jc w:val="both"/>
      </w:pPr>
      <w:r w:rsidRPr="004B72EE">
        <w:t>- Tăng cường phối hợp giữa các ban, ngành các cấp và đặc biệt là Đoàn thanh niên huyện Bình Lục trong công tác tuyên truyền đến thanh thiếu niên trên địa bàn huyện Bình Lục. Tổ chức các diễn đàn tại các địa phương trên địa bàn nhằm tuyên truyền về tác hại của ma túy và các hoạt động tội phạm về ma túy đến toàn bộ các Đoàn viên, thanh thiếu niên.</w:t>
      </w:r>
    </w:p>
    <w:p w:rsidR="004B72EE" w:rsidRPr="004B72EE" w:rsidRDefault="00702675" w:rsidP="004B72EE">
      <w:pPr>
        <w:spacing w:line="312" w:lineRule="auto"/>
        <w:ind w:right="46" w:firstLine="567"/>
        <w:jc w:val="both"/>
      </w:pPr>
      <w:r w:rsidRPr="004B72EE">
        <w:t xml:space="preserve">- Tổ chức khảo sát đánh giá rút kinh nghiệm, nâng cao hơn nữa công tác phối hợp trong phòng chống ma túy đối với thanh thiếu niên. </w:t>
      </w:r>
    </w:p>
    <w:p w:rsidR="00C9742B" w:rsidRPr="004B72EE" w:rsidRDefault="004B72EE" w:rsidP="004B72EE">
      <w:pPr>
        <w:spacing w:line="312" w:lineRule="auto"/>
        <w:ind w:right="46" w:firstLine="567"/>
        <w:jc w:val="both"/>
      </w:pPr>
      <w:proofErr w:type="gramStart"/>
      <w:r w:rsidRPr="004B72EE">
        <w:t xml:space="preserve">Trên đây là báo cáo </w:t>
      </w:r>
      <w:r w:rsidR="00C9742B" w:rsidRPr="004B72EE">
        <w:rPr>
          <w:shd w:val="clear" w:color="auto" w:fill="FFFFFF"/>
        </w:rPr>
        <w:tab/>
      </w:r>
      <w:r w:rsidRPr="004B72EE">
        <w:t>tổng kết 05 năm thực hiện Kế hoạch phối hợp giữa BCA &amp; TW Đoàn TNCS Hồ Chí Minh.</w:t>
      </w:r>
      <w:proofErr w:type="gramEnd"/>
      <w:r w:rsidRPr="004B72EE">
        <w:t xml:space="preserve"> Công an huyện Bình Lục xin báo cáo để Giám đốc Công an tỉnh nắm rõ và chỉ đạo</w:t>
      </w:r>
      <w:proofErr w:type="gramStart"/>
      <w:r w:rsidRPr="004B72EE">
        <w:t>./</w:t>
      </w:r>
      <w:proofErr w:type="gramEnd"/>
      <w:r w:rsidRPr="004B72EE">
        <w:t>.</w:t>
      </w:r>
    </w:p>
    <w:tbl>
      <w:tblPr>
        <w:tblW w:w="0" w:type="auto"/>
        <w:tblLook w:val="01E0" w:firstRow="1" w:lastRow="1" w:firstColumn="1" w:lastColumn="1" w:noHBand="0" w:noVBand="0"/>
      </w:tblPr>
      <w:tblGrid>
        <w:gridCol w:w="4636"/>
        <w:gridCol w:w="4652"/>
      </w:tblGrid>
      <w:tr w:rsidR="00C9742B" w:rsidRPr="004811D1" w:rsidTr="00CB7C16">
        <w:trPr>
          <w:trHeight w:val="3019"/>
        </w:trPr>
        <w:tc>
          <w:tcPr>
            <w:tcW w:w="4810" w:type="dxa"/>
          </w:tcPr>
          <w:p w:rsidR="00C9742B" w:rsidRPr="00BE7F34" w:rsidRDefault="00C9742B" w:rsidP="0024181E">
            <w:pPr>
              <w:spacing w:line="300" w:lineRule="auto"/>
              <w:jc w:val="both"/>
              <w:rPr>
                <w:b/>
                <w:sz w:val="24"/>
                <w:szCs w:val="24"/>
                <w:u w:val="single"/>
              </w:rPr>
            </w:pPr>
            <w:r w:rsidRPr="00BE7F34">
              <w:rPr>
                <w:b/>
                <w:sz w:val="24"/>
                <w:szCs w:val="24"/>
                <w:u w:val="single"/>
              </w:rPr>
              <w:t>Nơi nhận</w:t>
            </w:r>
            <w:r w:rsidRPr="00BE7F34">
              <w:rPr>
                <w:b/>
                <w:sz w:val="24"/>
                <w:szCs w:val="24"/>
              </w:rPr>
              <w:t>:</w:t>
            </w:r>
          </w:p>
          <w:p w:rsidR="00C9742B" w:rsidRPr="00BE7F34" w:rsidRDefault="004B72EE" w:rsidP="0024181E">
            <w:pPr>
              <w:spacing w:line="300" w:lineRule="auto"/>
              <w:jc w:val="both"/>
              <w:rPr>
                <w:b/>
                <w:sz w:val="24"/>
                <w:szCs w:val="24"/>
              </w:rPr>
            </w:pPr>
            <w:r>
              <w:rPr>
                <w:sz w:val="22"/>
                <w:szCs w:val="22"/>
              </w:rPr>
              <w:t>- Gửi PV01 (để b/c Giám đốc)</w:t>
            </w:r>
          </w:p>
          <w:p w:rsidR="00C9742B" w:rsidRDefault="00C9742B" w:rsidP="0024181E">
            <w:pPr>
              <w:spacing w:line="300" w:lineRule="auto"/>
              <w:jc w:val="both"/>
              <w:rPr>
                <w:sz w:val="22"/>
                <w:szCs w:val="22"/>
              </w:rPr>
            </w:pPr>
            <w:r>
              <w:rPr>
                <w:sz w:val="22"/>
                <w:szCs w:val="22"/>
              </w:rPr>
              <w:t>- Lưu</w:t>
            </w:r>
          </w:p>
          <w:p w:rsidR="00CB7C16" w:rsidRDefault="00CB7C16" w:rsidP="0024181E">
            <w:pPr>
              <w:spacing w:line="300" w:lineRule="auto"/>
              <w:jc w:val="both"/>
              <w:rPr>
                <w:sz w:val="22"/>
                <w:szCs w:val="22"/>
              </w:rPr>
            </w:pPr>
          </w:p>
          <w:p w:rsidR="00CB7C16" w:rsidRDefault="00CB7C16" w:rsidP="0024181E">
            <w:pPr>
              <w:spacing w:line="300" w:lineRule="auto"/>
              <w:jc w:val="both"/>
              <w:rPr>
                <w:sz w:val="22"/>
                <w:szCs w:val="22"/>
              </w:rPr>
            </w:pPr>
          </w:p>
          <w:p w:rsidR="00CB7C16" w:rsidRDefault="00CB7C16" w:rsidP="0024181E">
            <w:pPr>
              <w:spacing w:line="300" w:lineRule="auto"/>
              <w:jc w:val="both"/>
              <w:rPr>
                <w:sz w:val="22"/>
                <w:szCs w:val="22"/>
              </w:rPr>
            </w:pPr>
          </w:p>
          <w:p w:rsidR="00CB7C16" w:rsidRDefault="00CB7C16" w:rsidP="0024181E">
            <w:pPr>
              <w:spacing w:line="300" w:lineRule="auto"/>
              <w:jc w:val="both"/>
              <w:rPr>
                <w:sz w:val="22"/>
                <w:szCs w:val="22"/>
              </w:rPr>
            </w:pPr>
          </w:p>
          <w:p w:rsidR="00CB7C16" w:rsidRDefault="00CB7C16" w:rsidP="0024181E">
            <w:pPr>
              <w:spacing w:line="300" w:lineRule="auto"/>
              <w:jc w:val="both"/>
              <w:rPr>
                <w:sz w:val="22"/>
                <w:szCs w:val="22"/>
              </w:rPr>
            </w:pPr>
          </w:p>
          <w:p w:rsidR="00CB7C16" w:rsidRPr="004811D1" w:rsidRDefault="00CB7C16" w:rsidP="0024181E">
            <w:pPr>
              <w:spacing w:line="300" w:lineRule="auto"/>
              <w:jc w:val="both"/>
              <w:rPr>
                <w:b/>
                <w:sz w:val="24"/>
                <w:szCs w:val="24"/>
              </w:rPr>
            </w:pPr>
          </w:p>
        </w:tc>
        <w:tc>
          <w:tcPr>
            <w:tcW w:w="4811" w:type="dxa"/>
          </w:tcPr>
          <w:p w:rsidR="004B72EE" w:rsidRPr="0058236E" w:rsidRDefault="00C9742B" w:rsidP="004B72EE">
            <w:pPr>
              <w:spacing w:line="288" w:lineRule="auto"/>
              <w:ind w:right="-134"/>
              <w:jc w:val="center"/>
              <w:rPr>
                <w:b/>
                <w:sz w:val="24"/>
                <w:szCs w:val="24"/>
              </w:rPr>
            </w:pPr>
            <w:r w:rsidRPr="005358C3">
              <w:rPr>
                <w:b/>
                <w:spacing w:val="-8"/>
                <w:sz w:val="24"/>
              </w:rPr>
              <w:t xml:space="preserve">      </w:t>
            </w:r>
            <w:r w:rsidR="004B72EE" w:rsidRPr="0058236E">
              <w:rPr>
                <w:b/>
                <w:sz w:val="24"/>
                <w:szCs w:val="24"/>
              </w:rPr>
              <w:t>KT TRƯỞNG CÔNG AN HUYỆN</w:t>
            </w:r>
          </w:p>
          <w:p w:rsidR="004B72EE" w:rsidRPr="0058236E" w:rsidRDefault="004B72EE" w:rsidP="00CB7C16">
            <w:pPr>
              <w:spacing w:line="288" w:lineRule="auto"/>
              <w:ind w:right="-134"/>
              <w:jc w:val="center"/>
              <w:rPr>
                <w:b/>
                <w:sz w:val="24"/>
                <w:szCs w:val="24"/>
              </w:rPr>
            </w:pPr>
            <w:r w:rsidRPr="0058236E">
              <w:rPr>
                <w:b/>
                <w:sz w:val="24"/>
                <w:szCs w:val="24"/>
              </w:rPr>
              <w:t>PHÓ TRƯỞNG CÔNG AN HUYỆN</w:t>
            </w:r>
          </w:p>
          <w:p w:rsidR="004B72EE" w:rsidRPr="0058236E" w:rsidRDefault="004B72EE" w:rsidP="004B72EE">
            <w:pPr>
              <w:spacing w:line="288" w:lineRule="auto"/>
              <w:ind w:right="-134"/>
              <w:jc w:val="center"/>
              <w:rPr>
                <w:b/>
                <w:sz w:val="24"/>
                <w:szCs w:val="24"/>
              </w:rPr>
            </w:pPr>
          </w:p>
          <w:p w:rsidR="00CB7C16" w:rsidRDefault="00CB7C16" w:rsidP="00CB7C16">
            <w:pPr>
              <w:spacing w:line="288" w:lineRule="auto"/>
              <w:ind w:right="-134"/>
              <w:rPr>
                <w:b/>
                <w:sz w:val="24"/>
                <w:szCs w:val="24"/>
              </w:rPr>
            </w:pPr>
            <w:bookmarkStart w:id="0" w:name="_GoBack"/>
            <w:bookmarkEnd w:id="0"/>
          </w:p>
          <w:p w:rsidR="00CB7C16" w:rsidRPr="0058236E" w:rsidRDefault="00CB7C16" w:rsidP="00CB7C16">
            <w:pPr>
              <w:spacing w:line="288" w:lineRule="auto"/>
              <w:ind w:right="-134"/>
              <w:rPr>
                <w:b/>
                <w:sz w:val="24"/>
                <w:szCs w:val="24"/>
              </w:rPr>
            </w:pPr>
          </w:p>
          <w:p w:rsidR="00CB7C16" w:rsidRPr="0058236E" w:rsidRDefault="00CB7C16" w:rsidP="00CB7C16">
            <w:pPr>
              <w:spacing w:line="288" w:lineRule="auto"/>
              <w:ind w:right="-134"/>
              <w:rPr>
                <w:b/>
                <w:sz w:val="24"/>
                <w:szCs w:val="24"/>
              </w:rPr>
            </w:pPr>
          </w:p>
          <w:p w:rsidR="00CB7C16" w:rsidRDefault="00CB7C16" w:rsidP="004B72EE">
            <w:pPr>
              <w:spacing w:line="300" w:lineRule="auto"/>
              <w:jc w:val="center"/>
              <w:rPr>
                <w:b/>
              </w:rPr>
            </w:pPr>
          </w:p>
          <w:p w:rsidR="00C9742B" w:rsidRPr="00BE7F34" w:rsidRDefault="004B72EE" w:rsidP="004B72EE">
            <w:pPr>
              <w:spacing w:line="300" w:lineRule="auto"/>
              <w:jc w:val="center"/>
              <w:rPr>
                <w:b/>
              </w:rPr>
            </w:pPr>
            <w:r w:rsidRPr="0058236E">
              <w:rPr>
                <w:b/>
              </w:rPr>
              <w:t>Trung tá Cao Trọng Nghĩa</w:t>
            </w:r>
          </w:p>
        </w:tc>
      </w:tr>
    </w:tbl>
    <w:p w:rsidR="00DA0DA4" w:rsidRDefault="00DA0DA4" w:rsidP="00CB7C16"/>
    <w:sectPr w:rsidR="00DA0DA4" w:rsidSect="00CB7C16">
      <w:footerReference w:type="default" r:id="rId8"/>
      <w:pgSz w:w="11907" w:h="16840" w:code="9"/>
      <w:pgMar w:top="851" w:right="1134" w:bottom="567"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03" w:rsidRDefault="004A6D03">
      <w:r>
        <w:separator/>
      </w:r>
    </w:p>
  </w:endnote>
  <w:endnote w:type="continuationSeparator" w:id="0">
    <w:p w:rsidR="004A6D03" w:rsidRDefault="004A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5D4C77">
        <w:pPr>
          <w:pStyle w:val="Footer"/>
          <w:jc w:val="right"/>
        </w:pPr>
        <w:r>
          <w:fldChar w:fldCharType="begin"/>
        </w:r>
        <w:r>
          <w:instrText xml:space="preserve"> PAGE   \* MERGEFORMAT </w:instrText>
        </w:r>
        <w:r>
          <w:fldChar w:fldCharType="separate"/>
        </w:r>
        <w:r w:rsidR="00CB7C16">
          <w:rPr>
            <w:noProof/>
          </w:rPr>
          <w:t>4</w:t>
        </w:r>
        <w:r>
          <w:rPr>
            <w:noProof/>
          </w:rPr>
          <w:fldChar w:fldCharType="end"/>
        </w:r>
      </w:p>
    </w:sdtContent>
  </w:sdt>
  <w:p w:rsidR="00677B2C" w:rsidRDefault="004A6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03" w:rsidRDefault="004A6D03">
      <w:r>
        <w:separator/>
      </w:r>
    </w:p>
  </w:footnote>
  <w:footnote w:type="continuationSeparator" w:id="0">
    <w:p w:rsidR="004A6D03" w:rsidRDefault="004A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A01"/>
    <w:multiLevelType w:val="hybridMultilevel"/>
    <w:tmpl w:val="7F4C1E2E"/>
    <w:lvl w:ilvl="0" w:tplc="1CF2C0A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3470E85"/>
    <w:multiLevelType w:val="hybridMultilevel"/>
    <w:tmpl w:val="B8CCEED8"/>
    <w:lvl w:ilvl="0" w:tplc="72E2A4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F299E"/>
    <w:multiLevelType w:val="hybridMultilevel"/>
    <w:tmpl w:val="B8CC1C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D0421"/>
    <w:multiLevelType w:val="hybridMultilevel"/>
    <w:tmpl w:val="12BCFA74"/>
    <w:lvl w:ilvl="0" w:tplc="32427C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60B04CF"/>
    <w:multiLevelType w:val="hybridMultilevel"/>
    <w:tmpl w:val="46360C48"/>
    <w:lvl w:ilvl="0" w:tplc="452CF4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95C4DDC"/>
    <w:multiLevelType w:val="multilevel"/>
    <w:tmpl w:val="FC2E25C4"/>
    <w:lvl w:ilvl="0">
      <w:start w:val="1"/>
      <w:numFmt w:val="upperRoman"/>
      <w:lvlText w:val="%1."/>
      <w:lvlJc w:val="left"/>
      <w:pPr>
        <w:ind w:left="1440" w:hanging="72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721702E"/>
    <w:multiLevelType w:val="hybridMultilevel"/>
    <w:tmpl w:val="632AA3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AEA7D61"/>
    <w:multiLevelType w:val="hybridMultilevel"/>
    <w:tmpl w:val="8D3A7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117DC"/>
    <w:multiLevelType w:val="hybridMultilevel"/>
    <w:tmpl w:val="23A0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2B"/>
    <w:rsid w:val="002C78BB"/>
    <w:rsid w:val="004A6D03"/>
    <w:rsid w:val="004B72EE"/>
    <w:rsid w:val="005D4C77"/>
    <w:rsid w:val="00702675"/>
    <w:rsid w:val="007C150E"/>
    <w:rsid w:val="009E03E9"/>
    <w:rsid w:val="00C9742B"/>
    <w:rsid w:val="00CB7C16"/>
    <w:rsid w:val="00D428E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2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42B"/>
    <w:pPr>
      <w:ind w:left="720"/>
      <w:contextualSpacing/>
    </w:pPr>
  </w:style>
  <w:style w:type="paragraph" w:styleId="NormalWeb">
    <w:name w:val="Normal (Web)"/>
    <w:basedOn w:val="Normal"/>
    <w:uiPriority w:val="99"/>
    <w:unhideWhenUsed/>
    <w:rsid w:val="00C9742B"/>
    <w:pPr>
      <w:spacing w:before="100" w:beforeAutospacing="1" w:after="100" w:afterAutospacing="1"/>
    </w:pPr>
    <w:rPr>
      <w:sz w:val="24"/>
      <w:szCs w:val="24"/>
    </w:rPr>
  </w:style>
  <w:style w:type="paragraph" w:styleId="Footer">
    <w:name w:val="footer"/>
    <w:basedOn w:val="Normal"/>
    <w:link w:val="FooterChar"/>
    <w:uiPriority w:val="99"/>
    <w:unhideWhenUsed/>
    <w:rsid w:val="00C9742B"/>
    <w:pPr>
      <w:tabs>
        <w:tab w:val="center" w:pos="4680"/>
        <w:tab w:val="right" w:pos="9360"/>
      </w:tabs>
    </w:pPr>
  </w:style>
  <w:style w:type="character" w:customStyle="1" w:styleId="FooterChar">
    <w:name w:val="Footer Char"/>
    <w:basedOn w:val="DefaultParagraphFont"/>
    <w:link w:val="Footer"/>
    <w:uiPriority w:val="99"/>
    <w:rsid w:val="00C9742B"/>
    <w:rPr>
      <w:rFonts w:eastAsia="Times New Roman" w:cs="Times New Roman"/>
      <w:szCs w:val="28"/>
    </w:rPr>
  </w:style>
  <w:style w:type="character" w:styleId="Strong">
    <w:name w:val="Strong"/>
    <w:basedOn w:val="DefaultParagraphFont"/>
    <w:uiPriority w:val="22"/>
    <w:qFormat/>
    <w:rsid w:val="00C9742B"/>
    <w:rPr>
      <w:b/>
      <w:bCs/>
    </w:rPr>
  </w:style>
  <w:style w:type="table" w:styleId="TableGrid">
    <w:name w:val="Table Grid"/>
    <w:basedOn w:val="TableNormal"/>
    <w:rsid w:val="0070267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2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42B"/>
    <w:pPr>
      <w:ind w:left="720"/>
      <w:contextualSpacing/>
    </w:pPr>
  </w:style>
  <w:style w:type="paragraph" w:styleId="NormalWeb">
    <w:name w:val="Normal (Web)"/>
    <w:basedOn w:val="Normal"/>
    <w:uiPriority w:val="99"/>
    <w:unhideWhenUsed/>
    <w:rsid w:val="00C9742B"/>
    <w:pPr>
      <w:spacing w:before="100" w:beforeAutospacing="1" w:after="100" w:afterAutospacing="1"/>
    </w:pPr>
    <w:rPr>
      <w:sz w:val="24"/>
      <w:szCs w:val="24"/>
    </w:rPr>
  </w:style>
  <w:style w:type="paragraph" w:styleId="Footer">
    <w:name w:val="footer"/>
    <w:basedOn w:val="Normal"/>
    <w:link w:val="FooterChar"/>
    <w:uiPriority w:val="99"/>
    <w:unhideWhenUsed/>
    <w:rsid w:val="00C9742B"/>
    <w:pPr>
      <w:tabs>
        <w:tab w:val="center" w:pos="4680"/>
        <w:tab w:val="right" w:pos="9360"/>
      </w:tabs>
    </w:pPr>
  </w:style>
  <w:style w:type="character" w:customStyle="1" w:styleId="FooterChar">
    <w:name w:val="Footer Char"/>
    <w:basedOn w:val="DefaultParagraphFont"/>
    <w:link w:val="Footer"/>
    <w:uiPriority w:val="99"/>
    <w:rsid w:val="00C9742B"/>
    <w:rPr>
      <w:rFonts w:eastAsia="Times New Roman" w:cs="Times New Roman"/>
      <w:szCs w:val="28"/>
    </w:rPr>
  </w:style>
  <w:style w:type="character" w:styleId="Strong">
    <w:name w:val="Strong"/>
    <w:basedOn w:val="DefaultParagraphFont"/>
    <w:uiPriority w:val="22"/>
    <w:qFormat/>
    <w:rsid w:val="00C9742B"/>
    <w:rPr>
      <w:b/>
      <w:bCs/>
    </w:rPr>
  </w:style>
  <w:style w:type="table" w:styleId="TableGrid">
    <w:name w:val="Table Grid"/>
    <w:basedOn w:val="TableNormal"/>
    <w:rsid w:val="0070267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2020-07-07T03:30:00Z</cp:lastPrinted>
  <dcterms:created xsi:type="dcterms:W3CDTF">2020-07-01T08:40:00Z</dcterms:created>
  <dcterms:modified xsi:type="dcterms:W3CDTF">2020-07-07T03:30:00Z</dcterms:modified>
</cp:coreProperties>
</file>